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Admin Report for April 2024</w:t>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April Highlights:</w:t>
      </w:r>
    </w:p>
    <w:p w:rsidR="00000000" w:rsidDel="00000000" w:rsidP="00000000" w:rsidRDefault="00000000" w:rsidRPr="00000000" w14:paraId="00000005">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1"/>
        </w:numPr>
        <w:spacing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Grade 7 Leadership Group visited Grade 6 ISS students at ISS to build connections in preparation for the move to CCHS in the upcoming school year</w:t>
      </w:r>
    </w:p>
    <w:p w:rsidR="00000000" w:rsidDel="00000000" w:rsidP="00000000" w:rsidRDefault="00000000" w:rsidRPr="00000000" w14:paraId="00000007">
      <w:pPr>
        <w:numPr>
          <w:ilvl w:val="0"/>
          <w:numId w:val="1"/>
        </w:numPr>
        <w:spacing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Grade 3 Orientation visit/tour to ISS will be scheduled in May, accompanied by admin visits to grade 3 classes at HAS in May.</w:t>
      </w:r>
    </w:p>
    <w:p w:rsidR="00000000" w:rsidDel="00000000" w:rsidP="00000000" w:rsidRDefault="00000000" w:rsidRPr="00000000" w14:paraId="00000008">
      <w:pPr>
        <w:numPr>
          <w:ilvl w:val="0"/>
          <w:numId w:val="1"/>
        </w:numPr>
        <w:spacing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MRA survey completed- results indicate growth in LiM score from Spring 2023-Spring 2024 Overall Score- (76-78) Categories of Leadership (76-77), Culture (75-81) and Academics (decline from 79-76). </w:t>
      </w:r>
    </w:p>
    <w:p w:rsidR="00000000" w:rsidDel="00000000" w:rsidP="00000000" w:rsidRDefault="00000000" w:rsidRPr="00000000" w14:paraId="00000009">
      <w:pPr>
        <w:numPr>
          <w:ilvl w:val="0"/>
          <w:numId w:val="1"/>
        </w:numPr>
        <w:spacing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Scholastic Book Fair brought in </w:t>
      </w:r>
      <w:r w:rsidDel="00000000" w:rsidR="00000000" w:rsidRPr="00000000">
        <w:rPr>
          <w:rFonts w:ascii="Arial" w:cs="Arial" w:eastAsia="Arial" w:hAnsi="Arial"/>
          <w:color w:val="222222"/>
          <w:sz w:val="22"/>
          <w:szCs w:val="22"/>
          <w:highlight w:val="white"/>
          <w:rtl w:val="0"/>
        </w:rPr>
        <w:t xml:space="preserve">$4353, about $1000 more than last year. </w:t>
      </w:r>
      <w:r w:rsidDel="00000000" w:rsidR="00000000" w:rsidRPr="00000000">
        <w:rPr>
          <w:rFonts w:ascii="Arial" w:cs="Arial" w:eastAsia="Arial" w:hAnsi="Arial"/>
          <w:sz w:val="22"/>
          <w:szCs w:val="22"/>
          <w:rtl w:val="0"/>
        </w:rPr>
        <w:t xml:space="preserve">Each classroom was provided $100 worth of books to add to classroom libraries (thank you Parent Advisory Council!- $591.75)</w:t>
      </w:r>
    </w:p>
    <w:p w:rsidR="00000000" w:rsidDel="00000000" w:rsidP="00000000" w:rsidRDefault="00000000" w:rsidRPr="00000000" w14:paraId="0000000A">
      <w:pPr>
        <w:numPr>
          <w:ilvl w:val="0"/>
          <w:numId w:val="1"/>
        </w:numPr>
        <w:spacing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PD Day, April 26th- Staff will be sharing PD learnings with each other to build our collective knowledge and skill sets, planning for upcoming LAND/WILD day on May 24</w:t>
      </w:r>
    </w:p>
    <w:p w:rsidR="00000000" w:rsidDel="00000000" w:rsidP="00000000" w:rsidRDefault="00000000" w:rsidRPr="00000000" w14:paraId="0000000B">
      <w:pPr>
        <w:numPr>
          <w:ilvl w:val="0"/>
          <w:numId w:val="1"/>
        </w:numPr>
        <w:spacing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Two ISS staff are attending the Place Based Conference (partnership with Teton Science School Network) this week in Jackson Hole</w:t>
      </w:r>
    </w:p>
    <w:p w:rsidR="00000000" w:rsidDel="00000000" w:rsidP="00000000" w:rsidRDefault="00000000" w:rsidRPr="00000000" w14:paraId="0000000C">
      <w:pPr>
        <w:numPr>
          <w:ilvl w:val="0"/>
          <w:numId w:val="1"/>
        </w:numPr>
        <w:spacing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Student Advocacy group (One grade 5 student and two grade 6 students) will present virtually to Teton Science Schools on April 24th. Presentation will be on their participation and the positive impact of the ‘Grand Pals Program’ for both students and senior residents.</w:t>
      </w:r>
    </w:p>
    <w:p w:rsidR="00000000" w:rsidDel="00000000" w:rsidP="00000000" w:rsidRDefault="00000000" w:rsidRPr="00000000" w14:paraId="0000000D">
      <w:pPr>
        <w:spacing w:line="276" w:lineRule="auto"/>
        <w:ind w:left="0" w:firstLine="0"/>
        <w:rPr>
          <w:rFonts w:ascii="Arial" w:cs="Arial" w:eastAsia="Arial" w:hAnsi="Arial"/>
          <w:sz w:val="22"/>
          <w:szCs w:val="22"/>
        </w:rPr>
      </w:pPr>
      <w:r w:rsidDel="00000000" w:rsidR="00000000" w:rsidRPr="00000000">
        <w:rPr>
          <w:rtl w:val="0"/>
        </w:rPr>
      </w:r>
    </w:p>
    <w:sectPr>
      <w:headerReference r:id="rId7" w:type="default"/>
      <w:pgSz w:h="15840" w:w="12240" w:orient="portrait"/>
      <w:pgMar w:bottom="1440" w:top="1440" w:left="1134" w:right="1134"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w:font w:name="Algeri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lgerian" w:cs="Algerian" w:eastAsia="Algerian" w:hAnsi="Algerian"/>
        <w:b w:val="0"/>
        <w:i w:val="0"/>
        <w:smallCaps w:val="0"/>
        <w:strike w:val="0"/>
        <w:color w:val="000000"/>
        <w:sz w:val="36"/>
        <w:szCs w:val="3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leftMargin">
            <wp:posOffset>4979670</wp:posOffset>
          </wp:positionH>
          <wp:positionV relativeFrom="topMargin">
            <wp:posOffset>-1713221</wp:posOffset>
          </wp:positionV>
          <wp:extent cx="1368425" cy="89725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68425" cy="897255"/>
                  </a:xfrm>
                  <a:prstGeom prst="rect"/>
                  <a:ln/>
                </pic:spPr>
              </pic:pic>
            </a:graphicData>
          </a:graphic>
        </wp:anchor>
      </w:drawing>
    </w:r>
    <w:r w:rsidDel="00000000" w:rsidR="00000000" w:rsidRPr="00000000">
      <w:rPr>
        <w:rFonts w:ascii="Algerian" w:cs="Algerian" w:eastAsia="Algerian" w:hAnsi="Algerian"/>
        <w:b w:val="1"/>
        <w:i w:val="0"/>
        <w:smallCaps w:val="0"/>
        <w:strike w:val="0"/>
        <w:color w:val="000000"/>
        <w:sz w:val="36"/>
        <w:szCs w:val="36"/>
        <w:u w:val="none"/>
        <w:shd w:fill="auto" w:val="clear"/>
        <w:vertAlign w:val="baseline"/>
        <w:rtl w:val="0"/>
      </w:rPr>
      <w:t xml:space="preserve">                    Isabelle Sellon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98436</wp:posOffset>
          </wp:positionH>
          <wp:positionV relativeFrom="paragraph">
            <wp:posOffset>-55872</wp:posOffset>
          </wp:positionV>
          <wp:extent cx="906145" cy="92265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06145" cy="922655"/>
                  </a:xfrm>
                  <a:prstGeom prst="rect"/>
                  <a:ln/>
                </pic:spPr>
              </pic:pic>
            </a:graphicData>
          </a:graphic>
        </wp:anchor>
      </w:drawing>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Box 210</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Blairmore, AB  T0K 0E0</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Phone (403) 562-8816        Fax (403) 562-2617</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rtl w:val="0"/>
      </w:rPr>
      <w:t xml:space="preserve">               </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w:t>
    </w:r>
    <w:hyperlink r:id="rId3">
      <w:r w:rsidDel="00000000" w:rsidR="00000000" w:rsidRPr="00000000">
        <w:rPr>
          <w:rFonts w:ascii="Times" w:cs="Times" w:eastAsia="Times" w:hAnsi="Times"/>
          <w:b w:val="1"/>
          <w:i w:val="0"/>
          <w:smallCaps w:val="0"/>
          <w:strike w:val="0"/>
          <w:color w:val="0000ff"/>
          <w:sz w:val="28"/>
          <w:szCs w:val="28"/>
          <w:u w:val="single"/>
          <w:shd w:fill="auto" w:val="clear"/>
          <w:vertAlign w:val="baseline"/>
          <w:rtl w:val="0"/>
        </w:rPr>
        <w:t xml:space="preserve">www.isabellesellonschool.ca</w:t>
      </w:r>
    </w:hyperlink>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tab/>
    </w:r>
    <w:r w:rsidDel="00000000" w:rsidR="00000000" w:rsidRPr="00000000">
      <w:rPr>
        <w:sz w:val="22"/>
        <w:szCs w:val="22"/>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“To learn, play and be well together”</w:t>
    </w:r>
    <w:r w:rsidDel="00000000" w:rsidR="00000000" w:rsidRPr="00000000">
      <w:rPr>
        <w:rFonts w:ascii="Algerian" w:cs="Algerian" w:eastAsia="Algerian" w:hAnsi="Algerian"/>
        <w:b w:val="1"/>
        <w:i w:val="0"/>
        <w:smallCaps w:val="0"/>
        <w:strike w:val="0"/>
        <w:color w:val="000000"/>
        <w:sz w:val="36"/>
        <w:szCs w:val="36"/>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http://www.isabellesellonschoo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LKFX/tqZtauU83VMaKQJTvsQA==">CgMxLjA4AHIhMWdaYWtIbXIwME5EWE1mY1E0NVQtSlIycEs0ZjVoSlF4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